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47.535/2025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90.047/2026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lang w:val="pt-BR" w:eastAsia="pt-BR"/>
        </w:rPr>
        <w:t>AQUISIÇÃO DE 03 (TRÊS) AMBULÂNCIAS “TIPO A” - SIMPLES REMOÇÃO TIPO FURGÃO,</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  M</w:t>
      </w:r>
      <w:r>
        <w:rPr>
          <w:rFonts w:hint="default" w:ascii="Arial" w:hAnsi="Arial" w:cs="Arial"/>
          <w:bCs/>
          <w:iCs/>
          <w:u w:val="single"/>
          <w:lang w:val="pt-BR"/>
        </w:rPr>
        <w:t>ODELO DE EXECUÇÃO DO OBJETO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item deverá ser entregue em parcela única, no prazo máximo de 90 (noventa) dias corridos, contados a partir do recebimento da nota de empenho.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no prazo acima, a empresa deverá comunicar as razões respectivas com pelo menos 05 (cinco)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entrega deverá ser realizada no pátio da Prefeitura Municipal de Nova Friburgo, situada na Av. Alberto Braune, nº 225, Centro, Nova Friburgo.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A entrega deverá ser realizada de segunda à sexta-feira,  no horário de 09:00h às 15:00h, conforme agendamento da Subsecretaria de Manutenção de Veículos Leves e Pesados.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bens serão recebidos provisoriamente, de forma sumária, no prazo de 02 (dois) dias,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bens poderão ser rejeitados, no todo ou em parte, quando em desacordo com as especificações constantes no Termo de Referência e na proposta, devendo ser substituídos no prazo de 05 (cinco)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Os bens serão recebidos definitivamente no prazo de 02 (dois) dias,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3.1.10. A Contratada deverá oferecer garantia contratual dos bens, complementar à garantia legal, de, no mínimo, 12 (doze) meses, ou pelo prazo fornecido pelo fabricante, se superior, contado a partir do primeiro dia útil subsequente à data do recebimento definitivo do objeto.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3.1.11. A garantia será prestada com vistas a manter o bem fornecido em perfeitas condições de uso, sem qualquer ônus ou custo adicional para o Contratante.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3.1.12. A garantia abrange a realização da manutenção corretiva do bem pelo próprio Contratado, ou, se for o caso, por meio de assistência técnica autorizada, de acordo com as normas técnicas específicas.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3.1.13. Entende-se por manutenção corretiva aquela destinada a corrigir os defeitos apresentados pelo bem, compreendendo a substituição de peças, a realização de ajustes, reparos e correções necessárias.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3.1.14. As peças que apresentarem vício ou defeito no período de vigência da garantia deverão ser substituídas por outras novas, de primeiro uso, e originais, que apresentem padrões de qualidade e desempenho iguais ou superiores aos das peças utilizadas na fabricação do bem.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3.1.15. Durante a vigência do período de garantia, na eventual necessidade de assistência técnica, os custos referentes ao transporte, mão de obra e material utilizado serão integralmente pagos pela Contratada.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3.1.16. A Contratada também será responsável pelas 03 primeiras revisões programadas do veículo.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 xml:space="preserve">MODELO DE GESTÃO DO CONTRATO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A execução do contrato deverá ser acompanhada e fiscalizada pelo(s) fiscal(is) do contrato, ou pelos respectivos substitutos.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O fiscal do contrato anotará em registro próprio todas as ocorrências relacionadas à execução do contrato, determinando o que for necessário para a regularização das faltas ou dos defeitos observados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3.2.4. </w:t>
      </w:r>
      <w:bookmarkStart w:id="3" w:name="art117%252525252525252525252525252525252"/>
      <w:bookmarkEnd w:id="3"/>
      <w:r>
        <w:rPr>
          <w:rFonts w:hint="default" w:ascii="Arial" w:hAnsi="Arial" w:cs="Arial"/>
          <w:bCs/>
          <w:iCs/>
          <w:lang w:val="pt-BR"/>
        </w:rPr>
        <w:t>O fiscal do contrato informará a seus superiores, em tempo hábil para a adoção das medidas convenientes, a situação que demandar decisão ou providência que ultrapasse sua competência.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O contratado será obrigado a reparar, corrigir, remover, reconstruir ou substituir, a suas expensas, no total ou em parte, o objeto do contrato em que se verificarem vícios, defeitos ou incorreções resultantes de sua execução ou de materiais nela empregados.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3.2.6. </w:t>
      </w:r>
      <w:bookmarkStart w:id="4" w:name="art120"/>
      <w:bookmarkEnd w:id="4"/>
      <w:r>
        <w:rPr>
          <w:rFonts w:hint="default" w:ascii="Arial" w:hAnsi="Arial" w:cs="Arial"/>
          <w:bCs/>
          <w:iCs/>
          <w:lang w:val="pt-BR"/>
        </w:rPr>
        <w:t>O contratado será responsável pelos danos causados diretamente à Administração ou a terceiros em razão da execução do contrato, e não excluirá nem reduzirá essa responsabilidade a fiscalização ou o acompanhamento pelo contratante.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Somente o contratado será responsável pelos encargos trabalhistas, previdenciários, fiscais e comerciais resultantes da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A inadimplência do contratado em relação aos encargos trabalhistas, fiscais e comerciais não transferirá à Administração a responsabilidade pelo seu pagamento e não poderá onerar o objeto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3.2.10.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3.2.12. </w:t>
      </w:r>
      <w:r>
        <w:rPr>
          <w:rFonts w:hint="default" w:ascii="Arial" w:hAnsi="Arial" w:cs="Arial"/>
          <w:bCs/>
          <w:iCs/>
          <w:lang w:val="pt-BR" w:eastAsia="en-US"/>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3.2.13.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3.2.14. </w:t>
      </w:r>
      <w:r>
        <w:rPr>
          <w:rFonts w:hint="default" w:ascii="Arial" w:hAnsi="Arial" w:cs="Arial"/>
          <w:bCs/>
          <w:iCs/>
          <w:lang w:val="pt-BR" w:eastAsia="en-US"/>
        </w:rPr>
        <w:t>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3.2.15. </w:t>
      </w:r>
      <w:r>
        <w:rPr>
          <w:rFonts w:hint="default" w:ascii="Arial" w:hAnsi="Arial" w:cs="Arial"/>
          <w:bCs/>
          <w:iCs/>
          <w:lang w:val="pt-BR" w:eastAsia="en-U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3.2.16.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color w:val="auto"/>
          <w:lang w:val="en-US" w:eastAsia="pt-BR"/>
        </w:rPr>
      </w:pPr>
      <w:r>
        <w:rPr>
          <w:rFonts w:hint="default" w:ascii="Arial" w:hAnsi="Arial" w:cs="Arial" w:eastAsiaTheme="majorEastAsia"/>
          <w:b w:val="0"/>
          <w:bCs w:val="0"/>
          <w:color w:val="auto"/>
          <w:lang w:val="en-US" w:eastAsia="pt-BR"/>
        </w:rPr>
        <w:t xml:space="preserve">6.1  As notas fiscais deverão ser emitidas em nome de: </w:t>
      </w:r>
      <w:r>
        <w:rPr>
          <w:rFonts w:hint="default" w:ascii="Arial" w:hAnsi="Arial" w:cs="Arial" w:eastAsiaTheme="majorEastAsia"/>
          <w:b/>
          <w:bCs/>
          <w:color w:val="auto"/>
          <w:lang w:val="en-US" w:eastAsia="pt-BR"/>
        </w:rPr>
        <w:t>FUNDO MUNICIPAL DE SAÚDE, CNPJ: 11.399.442/0001-79 ,AVENIDA ALBERTO BRAUNE, Nº 224, SALA 221, CENTRO, NOVA FRIBURGO/RJ, CEP 28613-001.</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6.2. O veículo deverá ser entregue no pátio da Prefeitura Municipal de Nova Friburgo, situada à Av. Alberto Braune, nº 225, Centro, Nova Friburgo.</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 xml:space="preserve">6.3 </w:t>
      </w:r>
      <w:r>
        <w:rPr>
          <w:rFonts w:hint="default" w:ascii="Arial" w:hAnsi="Arial" w:cs="Arial" w:eastAsiaTheme="majorEastAsia"/>
          <w:b w:val="0"/>
          <w:bCs w:val="0"/>
          <w:color w:val="auto"/>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 xml:space="preserve">6.3.1. A liquidação será realizada pela Secretaria Municipal de Fazenda, a partir do cumprimento das obrigações elencadas no Termo de Referência, em obediência ao Decreto nº 2493, de 07 de novembro de 2023, </w:t>
      </w:r>
      <w:r>
        <w:rPr>
          <w:rFonts w:hint="default" w:ascii="Arial" w:hAnsi="Arial" w:cs="Arial" w:eastAsiaTheme="majorEastAsia"/>
          <w:b w:val="0"/>
          <w:bCs w:val="0"/>
          <w:color w:val="auto"/>
          <w:lang w:val="en-US" w:eastAsia="pt-BR"/>
        </w:rPr>
        <w:fldChar w:fldCharType="begin"/>
      </w:r>
      <w:r>
        <w:rPr>
          <w:rFonts w:hint="default" w:ascii="Arial" w:hAnsi="Arial" w:cs="Arial" w:eastAsiaTheme="majorEastAsia"/>
          <w:b w:val="0"/>
          <w:bCs w:val="0"/>
          <w:color w:val="auto"/>
          <w:lang w:val="en-US" w:eastAsia="pt-BR"/>
        </w:rPr>
        <w:instrText xml:space="preserve"> HYPERLINK "https://pmnf.rj.gov.br/paginas-centralizadas/9_64_Legislacoes.html" \h </w:instrText>
      </w:r>
      <w:r>
        <w:rPr>
          <w:rFonts w:hint="default" w:ascii="Arial" w:hAnsi="Arial" w:cs="Arial" w:eastAsiaTheme="majorEastAsia"/>
          <w:b w:val="0"/>
          <w:bCs w:val="0"/>
          <w:color w:val="auto"/>
          <w:lang w:val="en-US" w:eastAsia="pt-BR"/>
        </w:rPr>
        <w:fldChar w:fldCharType="separate"/>
      </w:r>
      <w:r>
        <w:rPr>
          <w:rFonts w:hint="default" w:ascii="Arial" w:hAnsi="Arial" w:cs="Arial" w:eastAsiaTheme="majorEastAsia"/>
          <w:b w:val="0"/>
          <w:bCs w:val="0"/>
          <w:color w:val="auto"/>
          <w:lang w:val="en-US" w:eastAsia="pt-BR"/>
        </w:rPr>
        <w:t>https://pmnf.rj.gov.br/paginas-centralizadas/9_64_Legislacoes.html</w:t>
      </w:r>
      <w:r>
        <w:rPr>
          <w:rFonts w:hint="default" w:ascii="Arial" w:hAnsi="Arial" w:cs="Arial" w:eastAsiaTheme="majorEastAsia"/>
          <w:b w:val="0"/>
          <w:bCs w:val="0"/>
          <w:color w:val="auto"/>
          <w:lang w:val="en-US" w:eastAsia="pt-BR"/>
        </w:rPr>
        <w:fldChar w:fldCharType="end"/>
      </w:r>
      <w:r>
        <w:rPr>
          <w:rFonts w:hint="default" w:ascii="Arial" w:hAnsi="Arial" w:cs="Arial" w:eastAsiaTheme="majorEastAsia"/>
          <w:b w:val="0"/>
          <w:bCs w:val="0"/>
          <w:color w:val="auto"/>
          <w:lang w:val="en-US" w:eastAsia="pt-BR"/>
        </w:rPr>
        <w:fldChar w:fldCharType="begin"/>
      </w:r>
      <w:r>
        <w:rPr>
          <w:rFonts w:hint="default" w:ascii="Arial" w:hAnsi="Arial" w:cs="Arial" w:eastAsiaTheme="majorEastAsia"/>
          <w:b w:val="0"/>
          <w:bCs w:val="0"/>
          <w:color w:val="auto"/>
          <w:lang w:val="en-US" w:eastAsia="pt-BR"/>
        </w:rPr>
        <w:instrText xml:space="preserve"> HYPERLINK "https://pmnf.rj.gov.br/paginas-centralizadas/9_64_Legislacoes.html." \h </w:instrText>
      </w:r>
      <w:r>
        <w:rPr>
          <w:rFonts w:hint="default" w:ascii="Arial" w:hAnsi="Arial" w:cs="Arial" w:eastAsiaTheme="majorEastAsia"/>
          <w:b w:val="0"/>
          <w:bCs w:val="0"/>
          <w:color w:val="auto"/>
          <w:lang w:val="en-US" w:eastAsia="pt-BR"/>
        </w:rPr>
        <w:fldChar w:fldCharType="separate"/>
      </w:r>
      <w:r>
        <w:rPr>
          <w:rFonts w:hint="default" w:ascii="Arial" w:hAnsi="Arial" w:cs="Arial" w:eastAsiaTheme="majorEastAsia"/>
          <w:b w:val="0"/>
          <w:bCs w:val="0"/>
          <w:color w:val="auto"/>
          <w:lang w:val="en-US" w:eastAsia="pt-BR"/>
        </w:rPr>
        <w:t>.</w:t>
      </w:r>
      <w:r>
        <w:rPr>
          <w:rFonts w:hint="default" w:ascii="Arial" w:hAnsi="Arial" w:cs="Arial" w:eastAsiaTheme="majorEastAsia"/>
          <w:b w:val="0"/>
          <w:bCs w:val="0"/>
          <w:color w:val="auto"/>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bookmarkStart w:id="6" w:name="_GoBack"/>
      <w:bookmarkEnd w:id="6"/>
      <w:r>
        <w:rPr>
          <w:rFonts w:hint="default" w:ascii="Arial" w:hAnsi="Arial" w:cs="Arial" w:eastAsiaTheme="majorEastAsia"/>
          <w:b w:val="0"/>
          <w:bCs w:val="0"/>
          <w:color w:val="auto"/>
          <w:lang w:val="en-US" w:eastAsia="pt-BR"/>
        </w:rPr>
        <w:t>6.3.2. Deverá ser observado no momento da emissão do Documento Fiscal e na liquidação da despesa os dispositivos do Decreto Municipal nº 2.480/2023, o qual dispõe sobre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6.4</w:t>
      </w:r>
      <w:r>
        <w:rPr>
          <w:rFonts w:hint="default" w:ascii="Arial" w:hAnsi="Arial" w:cs="Arial" w:eastAsiaTheme="majorEastAsia"/>
          <w:b w:val="0"/>
          <w:bCs w:val="0"/>
          <w:color w:val="auto"/>
          <w:u w:val="single"/>
          <w:lang w:val="en-US" w:eastAsia="pt-BR"/>
        </w:rPr>
        <w:t xml:space="preserve"> Do pagamento da despesa:</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6.4.1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 xml:space="preserve">6.4.2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6.4.3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6.4.4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color w:val="auto"/>
          <w:lang w:val="en-US" w:eastAsia="pt-BR"/>
        </w:rPr>
      </w:pPr>
      <w:r>
        <w:rPr>
          <w:rFonts w:hint="default" w:ascii="Arial" w:hAnsi="Arial" w:cs="Arial" w:eastAsiaTheme="majorEastAsia"/>
          <w:b w:val="0"/>
          <w:bCs w:val="0"/>
          <w:color w:val="auto"/>
          <w:lang w:val="en-US" w:eastAsia="pt-BR"/>
        </w:rPr>
        <w:t>6.4.5.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rFonts w:ascii="Arial" w:hAnsi="Arial" w:cs="Arial" w:eastAsiaTheme="majorEastAsia"/>
          <w:b/>
          <w:bCs/>
          <w:lang w:val="pt-BR" w:eastAsia="pt-BR"/>
        </w:rPr>
      </w:pPr>
      <w:r>
        <w:rPr>
          <w:sz w:val="22"/>
          <w:szCs w:val="22"/>
        </w:rPr>
        <w:t>Cumprir, além dos postulados legais vigentes de âmbito federal, estadual ou municipal, as normas de segurança do contratante.</w:t>
      </w:r>
    </w:p>
    <w:p>
      <w:pPr>
        <w:pStyle w:val="45"/>
        <w:numPr>
          <w:numId w:val="0"/>
        </w:numPr>
        <w:ind w:leftChars="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5" w:name="_Hlk114504069"/>
      <w:r>
        <w:rPr>
          <w:rStyle w:val="9"/>
          <w:rFonts w:ascii="Arial" w:hAnsi="Arial" w:eastAsia="Arial" w:cs="Arial"/>
        </w:rPr>
        <w:t>Lei nº 14.133, de 2021</w:t>
      </w:r>
      <w:bookmarkEnd w:id="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6"/>
        <w:tblW w:w="9165" w:type="dxa"/>
        <w:tblInd w:w="108" w:type="dxa"/>
        <w:tblLayout w:type="autofit"/>
        <w:tblCellMar>
          <w:top w:w="0" w:type="dxa"/>
          <w:left w:w="108" w:type="dxa"/>
          <w:bottom w:w="0" w:type="dxa"/>
          <w:right w:w="108" w:type="dxa"/>
        </w:tblCellMar>
      </w:tblPr>
      <w:tblGrid>
        <w:gridCol w:w="2493"/>
        <w:gridCol w:w="2541"/>
        <w:gridCol w:w="1753"/>
        <w:gridCol w:w="2378"/>
      </w:tblGrid>
      <w:tr>
        <w:tblPrEx>
          <w:tblCellMar>
            <w:top w:w="0" w:type="dxa"/>
            <w:left w:w="108" w:type="dxa"/>
            <w:bottom w:w="0" w:type="dxa"/>
            <w:right w:w="108" w:type="dxa"/>
          </w:tblCellMar>
        </w:tblPrEx>
        <w:tc>
          <w:tcPr>
            <w:tcW w:w="2493"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bCs/>
                <w:sz w:val="22"/>
                <w:szCs w:val="22"/>
                <w:lang w:val="pt-BR"/>
              </w:rPr>
            </w:pPr>
            <w:r>
              <w:rPr>
                <w:rFonts w:hint="default" w:ascii="Arial" w:hAnsi="Arial" w:cs="Arial"/>
                <w:b/>
                <w:bCs/>
                <w:sz w:val="22"/>
                <w:szCs w:val="22"/>
                <w:lang w:val="pt-BR"/>
              </w:rPr>
              <w:t>Órgão/Unidade Orçamentária</w:t>
            </w:r>
          </w:p>
        </w:tc>
        <w:tc>
          <w:tcPr>
            <w:tcW w:w="2541"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bCs/>
                <w:sz w:val="22"/>
                <w:szCs w:val="22"/>
                <w:lang w:val="pt-BR"/>
              </w:rPr>
            </w:pPr>
            <w:r>
              <w:rPr>
                <w:rFonts w:hint="default" w:ascii="Arial" w:hAnsi="Arial" w:cs="Arial"/>
                <w:b/>
                <w:bCs/>
                <w:sz w:val="22"/>
                <w:szCs w:val="22"/>
                <w:lang w:val="pt-BR"/>
              </w:rPr>
              <w:t>Programa de Trabalho</w:t>
            </w:r>
          </w:p>
        </w:tc>
        <w:tc>
          <w:tcPr>
            <w:tcW w:w="1753"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bCs/>
                <w:sz w:val="22"/>
                <w:szCs w:val="22"/>
                <w:lang w:val="pt-BR"/>
              </w:rPr>
            </w:pPr>
            <w:r>
              <w:rPr>
                <w:rFonts w:hint="default" w:ascii="Arial" w:hAnsi="Arial" w:cs="Arial"/>
                <w:b/>
                <w:bCs/>
                <w:sz w:val="22"/>
                <w:szCs w:val="22"/>
                <w:lang w:val="pt-BR"/>
              </w:rPr>
              <w:t>Fonte de Recursos</w:t>
            </w:r>
          </w:p>
        </w:tc>
        <w:tc>
          <w:tcPr>
            <w:tcW w:w="2378"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bCs/>
                <w:sz w:val="22"/>
                <w:szCs w:val="22"/>
                <w:lang w:val="pt-BR"/>
              </w:rPr>
            </w:pPr>
            <w:r>
              <w:rPr>
                <w:rFonts w:hint="default" w:ascii="Arial" w:hAnsi="Arial" w:cs="Arial"/>
                <w:b/>
                <w:bCs/>
                <w:sz w:val="22"/>
                <w:szCs w:val="22"/>
                <w:lang w:val="pt-BR"/>
              </w:rPr>
              <w:t>Natureza da Despesa</w:t>
            </w:r>
          </w:p>
        </w:tc>
      </w:tr>
      <w:tr>
        <w:tblPrEx>
          <w:tblCellMar>
            <w:top w:w="0" w:type="dxa"/>
            <w:left w:w="108" w:type="dxa"/>
            <w:bottom w:w="0" w:type="dxa"/>
            <w:right w:w="108" w:type="dxa"/>
          </w:tblCellMar>
        </w:tblPrEx>
        <w:tc>
          <w:tcPr>
            <w:tcW w:w="2493" w:type="dxa"/>
            <w:shd w:val="clear" w:color="auto" w:fill="auto"/>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Hospital Municipal Raul Sertã</w:t>
            </w:r>
          </w:p>
        </w:tc>
        <w:tc>
          <w:tcPr>
            <w:tcW w:w="2541" w:type="dxa"/>
            <w:shd w:val="clear" w:color="auto" w:fill="auto"/>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36001.1030210042.141</w:t>
            </w:r>
          </w:p>
        </w:tc>
        <w:tc>
          <w:tcPr>
            <w:tcW w:w="1753" w:type="dxa"/>
            <w:shd w:val="clear" w:color="auto" w:fill="auto"/>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1621</w:t>
            </w:r>
          </w:p>
        </w:tc>
        <w:tc>
          <w:tcPr>
            <w:tcW w:w="2378" w:type="dxa"/>
            <w:vMerge w:val="restart"/>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44.90.52.06</w:t>
            </w:r>
          </w:p>
        </w:tc>
      </w:tr>
      <w:tr>
        <w:tblPrEx>
          <w:tblCellMar>
            <w:top w:w="0" w:type="dxa"/>
            <w:left w:w="108" w:type="dxa"/>
            <w:bottom w:w="0" w:type="dxa"/>
            <w:right w:w="108" w:type="dxa"/>
          </w:tblCellMar>
        </w:tblPrEx>
        <w:tc>
          <w:tcPr>
            <w:tcW w:w="2493"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eastAsia="pt-BR"/>
              </w:rPr>
            </w:pPr>
            <w:r>
              <w:rPr>
                <w:rFonts w:hint="default" w:ascii="Arial" w:hAnsi="Arial" w:cs="Arial"/>
                <w:b w:val="0"/>
                <w:bCs w:val="0"/>
                <w:sz w:val="22"/>
                <w:szCs w:val="22"/>
                <w:lang w:val="pt-BR" w:eastAsia="pt-BR"/>
              </w:rPr>
              <w:t>Unidade de Urgência e Emergência de Lumiar</w:t>
            </w:r>
          </w:p>
        </w:tc>
        <w:tc>
          <w:tcPr>
            <w:tcW w:w="2541"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36001.1030210042.143</w:t>
            </w:r>
          </w:p>
        </w:tc>
        <w:tc>
          <w:tcPr>
            <w:tcW w:w="1753" w:type="dxa"/>
            <w:shd w:val="clear" w:color="auto" w:fill="auto"/>
            <w:vAlign w:val="cente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1601311</w:t>
            </w:r>
          </w:p>
        </w:tc>
        <w:tc>
          <w:tcPr>
            <w:tcW w:w="2378" w:type="dxa"/>
            <w:vMerge w:val="continue"/>
            <w:shd w:val="clear" w:color="auto" w:fill="auto"/>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p>
        </w:tc>
      </w:tr>
    </w:tbl>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6EB1004"/>
    <w:rsid w:val="07BB2EAF"/>
    <w:rsid w:val="0DBA458B"/>
    <w:rsid w:val="11CC2ACE"/>
    <w:rsid w:val="193B03DE"/>
    <w:rsid w:val="1AF72D93"/>
    <w:rsid w:val="1E0E19CB"/>
    <w:rsid w:val="1FD12E07"/>
    <w:rsid w:val="28D611F7"/>
    <w:rsid w:val="29447EA7"/>
    <w:rsid w:val="2D4A71F2"/>
    <w:rsid w:val="2F036FB5"/>
    <w:rsid w:val="331108C9"/>
    <w:rsid w:val="3C4D19A5"/>
    <w:rsid w:val="3C9967A2"/>
    <w:rsid w:val="3D361311"/>
    <w:rsid w:val="3EA26CE8"/>
    <w:rsid w:val="501F24D5"/>
    <w:rsid w:val="55C21774"/>
    <w:rsid w:val="5C237373"/>
    <w:rsid w:val="5E2B7380"/>
    <w:rsid w:val="623C6820"/>
    <w:rsid w:val="655965EF"/>
    <w:rsid w:val="68532C20"/>
    <w:rsid w:val="690F4044"/>
    <w:rsid w:val="6A683099"/>
    <w:rsid w:val="749B1192"/>
    <w:rsid w:val="74D639BB"/>
    <w:rsid w:val="768D3065"/>
    <w:rsid w:val="77381A66"/>
    <w:rsid w:val="77B2358A"/>
    <w:rsid w:val="77ED70BC"/>
    <w:rsid w:val="7BF603C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9"/>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Link da Internet"/>
    <w:qFormat/>
    <w:uiPriority w:val="0"/>
    <w:rPr>
      <w:color w:val="0000FF"/>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7</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2026-04-29T13:24:09Z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